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footer3.xml" ContentType="application/vnd.openxmlformats-officedocument.wordprocessingml.footer+xml"/>
  <Override PartName="/word/media/image1.png" ContentType="image/pn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>
          <w:rFonts w:ascii="Times New Roman" w:hAnsi="Times New Roman" w:cs="Times New Roman"/>
        </w:rPr>
      </w:pPr>
      <w:r>
        <w:rPr/>
        <w:object w:dxaOrig="6465" w:dyaOrig="5505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67.5pt;height:60pt;mso-wrap-distance-right:0pt" filled="f" o:ole="">
            <v:imagedata r:id="rId3" o:title=""/>
          </v:shape>
          <o:OLEObject Type="Embed" ProgID="PBrush" ShapeID="ole_rId2" DrawAspect="Content" ObjectID="_2016435979" r:id="rId2"/>
        </w:objec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MINISTÉRIO DA DEFESA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EXÉRCITO BRASILEIRO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DEPÓSITO CENTRAL DE MUNIÇÃO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 xml:space="preserve">(D C M B / 1918) 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ANEXO II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ATA DE REGISTRO DE PREÇOS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 xml:space="preserve">Pregão Eletrônico (SRP) nº </w:t>
      </w:r>
      <w:r>
        <w:rPr>
          <w:rFonts w:eastAsia="Times New Roman" w:cs="Times New Roman" w:ascii="Times New Roman" w:hAnsi="Times New Roman"/>
          <w:b/>
          <w:lang w:val="pt-BR"/>
        </w:rPr>
        <w:t>90005</w:t>
      </w:r>
      <w:r>
        <w:rPr>
          <w:rFonts w:eastAsia="Times New Roman" w:cs="Times New Roman" w:ascii="Times New Roman" w:hAnsi="Times New Roman"/>
          <w:b/>
        </w:rPr>
        <w:t>/202</w:t>
      </w:r>
      <w:r>
        <w:rPr>
          <w:rFonts w:eastAsia="Times New Roman" w:cs="Times New Roman" w:ascii="Times New Roman" w:hAnsi="Times New Roman"/>
          <w:b/>
          <w:lang w:val="pt-BR"/>
        </w:rPr>
        <w:t>5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 xml:space="preserve">(Processo Administrativo nº </w:t>
      </w:r>
      <w:r>
        <w:rPr>
          <w:rFonts w:eastAsia="Times New Roman" w:cs="Times New Roman" w:ascii="Times New Roman" w:hAnsi="Times New Roman"/>
          <w:b/>
          <w:bCs/>
          <w:lang w:val="pt-BR"/>
        </w:rPr>
        <w:t>64449.000361/2025-36)</w:t>
      </w:r>
    </w:p>
    <w:p>
      <w:pPr>
        <w:pStyle w:val="Normal"/>
        <w:widowControl w:val="false"/>
        <w:spacing w:lineRule="auto" w:line="360"/>
        <w:ind w:right="-3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ivel01"/>
        <w:numPr>
          <w:ilvl w:val="0"/>
          <w:numId w:val="0"/>
        </w:numPr>
        <w:ind w:hanging="0" w:left="0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ab/>
        <w:t>A União, por meio do Depósito Central de Munição, órgão do EXÉRCITO BRASILEIRO, com sede na Estrada RJ-127, km 6</w:t>
      </w:r>
      <w:r>
        <w:rPr>
          <w:rFonts w:cs="Times New Roman" w:ascii="Times New Roman" w:hAnsi="Times New Roman"/>
          <w:b w:val="false"/>
          <w:bCs w:val="false"/>
          <w:spacing w:val="-4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s/n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-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Cabral,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Paracambi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-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RJ,</w:t>
      </w:r>
      <w:r>
        <w:rPr>
          <w:rFonts w:cs="Times New Roman" w:ascii="Times New Roman" w:hAnsi="Times New Roman"/>
          <w:b w:val="false"/>
          <w:bCs w:val="false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26600-000,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inscrito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CNPJ/MF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sob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nº 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40C28"/>
          <w:spacing w:val="0"/>
          <w:sz w:val="24"/>
          <w:szCs w:val="24"/>
        </w:rPr>
        <w:t>09.586.924/0001-96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neste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ato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representado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neste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ato </w:t>
      </w:r>
      <w:r>
        <w:rPr>
          <w:rFonts w:cs="Times New Roman" w:ascii="Times New Roman" w:hAnsi="Times New Roman"/>
          <w:b w:val="false"/>
          <w:bCs w:val="false"/>
          <w:spacing w:val="-4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pelo  TC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none"/>
        </w:rPr>
        <w:t>ROBERTO DA SILVA DOS SANTOS,</w:t>
      </w:r>
      <w:r>
        <w:rPr>
          <w:rFonts w:cs="Times New Roman" w:ascii="Times New Roman" w:hAnsi="Times New Roman"/>
          <w:b w:val="false"/>
          <w:bCs w:val="false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nomeado pela</w:t>
      </w:r>
      <w:r>
        <w:rPr>
          <w:rFonts w:cs="Times New Roman" w:ascii="Times New Roman" w:hAnsi="Times New Roman"/>
          <w:b w:val="false"/>
          <w:bCs w:val="false"/>
          <w:spacing w:val="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Portaria</w:t>
      </w:r>
      <w:r>
        <w:rPr>
          <w:rFonts w:cs="Times New Roman" w:ascii="Times New Roman" w:hAnsi="Times New Roman"/>
          <w:b w:val="false"/>
          <w:bCs w:val="false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 730, de 23 de maio de 2024,</w:t>
      </w:r>
      <w:r>
        <w:rPr>
          <w:rFonts w:cs="Times New Roman" w:ascii="Times New Roman" w:hAnsi="Times New Roman"/>
          <w:b w:val="false"/>
          <w:bCs w:val="false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publicada</w:t>
      </w:r>
      <w:r>
        <w:rPr>
          <w:rFonts w:cs="Times New Roman" w:ascii="Times New Roman" w:hAnsi="Times New Roman"/>
          <w:b w:val="false"/>
          <w:bCs w:val="false"/>
          <w:spacing w:val="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</w:t>
      </w:r>
      <w:r>
        <w:rPr>
          <w:rFonts w:cs="Times New Roman" w:ascii="Times New Roman" w:hAnsi="Times New Roman"/>
          <w:b w:val="false"/>
          <w:bCs w:val="false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Diário</w:t>
      </w:r>
      <w:r>
        <w:rPr>
          <w:rFonts w:cs="Times New Roman" w:ascii="Times New Roman" w:hAnsi="Times New Roman"/>
          <w:b w:val="false"/>
          <w:bCs w:val="false"/>
          <w:spacing w:val="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Oficial</w:t>
      </w:r>
      <w:r>
        <w:rPr>
          <w:rFonts w:cs="Times New Roman" w:ascii="Times New Roman" w:hAnsi="Times New Roman"/>
          <w:b w:val="false"/>
          <w:bCs w:val="false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da</w:t>
      </w:r>
      <w:r>
        <w:rPr>
          <w:rFonts w:cs="Times New Roman" w:ascii="Times New Roman" w:hAnsi="Times New Roman"/>
          <w:b w:val="false"/>
          <w:bCs w:val="false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União</w:t>
      </w:r>
      <w:r>
        <w:rPr>
          <w:rFonts w:cs="Times New Roman" w:ascii="Times New Roman" w:hAnsi="Times New Roman"/>
          <w:b w:val="false"/>
          <w:bCs w:val="false"/>
          <w:spacing w:val="-4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nº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 99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de 23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 de Maio de 2024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inscrito 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CPF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sob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 XXX.XXX.XXX-XX,</w:t>
      </w:r>
      <w:r>
        <w:rPr>
          <w:rFonts w:cs="Times New Roman" w:ascii="Times New Roman" w:hAnsi="Times New Roman"/>
          <w:b w:val="false"/>
          <w:bCs w:val="false"/>
          <w:spacing w:val="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portador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da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Carteira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de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Identidade Nº XXXXXXXX-X,</w:t>
      </w:r>
      <w:r>
        <w:rPr>
          <w:rFonts w:cs="Times New Roman" w:ascii="Times New Roman" w:hAnsi="Times New Roman"/>
          <w:b w:val="false"/>
          <w:bCs w:val="false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expedida</w:t>
      </w:r>
      <w:r>
        <w:rPr>
          <w:rFonts w:cs="Times New Roman" w:ascii="Times New Roman" w:hAnsi="Times New Roman"/>
          <w:b w:val="false"/>
          <w:bCs w:val="false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pelo Ministério da Defesa</w:t>
      </w:r>
      <w:r>
        <w:rPr>
          <w:rFonts w:cs="Times New Roman" w:ascii="Times New Roman" w:hAnsi="Times New Roman"/>
          <w:b w:val="false"/>
          <w:bCs w:val="false"/>
          <w:spacing w:val="-1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-4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considerando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</w:t>
      </w:r>
      <w:r>
        <w:rPr>
          <w:rFonts w:cs="Times New Roman" w:ascii="Times New Roman" w:hAnsi="Times New Roman"/>
          <w:b w:val="false"/>
          <w:bCs w:val="false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julgamento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da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licitação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na</w:t>
      </w:r>
      <w:r>
        <w:rPr>
          <w:rFonts w:cs="Times New Roman" w:ascii="Times New Roman" w:hAnsi="Times New Roman"/>
          <w:b w:val="false"/>
          <w:bCs w:val="false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modalidade</w:t>
      </w:r>
      <w:r>
        <w:rPr>
          <w:rFonts w:cs="Times New Roman" w:ascii="Times New Roman" w:hAnsi="Times New Roman"/>
          <w:b w:val="false"/>
          <w:bCs w:val="false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de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PREGÃO,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na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forma</w:t>
      </w:r>
      <w:r>
        <w:rPr>
          <w:rFonts w:cs="Times New Roman" w:ascii="Times New Roman" w:hAnsi="Times New Roman"/>
          <w:b w:val="false"/>
          <w:bCs w:val="false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eletrônica,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para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REGISTRO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DE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PREÇOS, </w:t>
      </w:r>
      <w:r>
        <w:rPr>
          <w:rFonts w:cs="Times New Roman" w:ascii="Times New Roman" w:hAnsi="Times New Roman"/>
          <w:b w:val="false"/>
          <w:bCs w:val="false"/>
          <w:spacing w:val="-4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</w:t>
      </w:r>
      <w:r>
        <w:rPr>
          <w:rFonts w:cs="Times New Roman" w:ascii="Times New Roman" w:hAnsi="Times New Roman"/>
          <w:b w:val="false"/>
          <w:bCs w:val="false"/>
          <w:spacing w:val="2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90005/2025,</w:t>
      </w:r>
      <w:r>
        <w:rPr>
          <w:rFonts w:cs="Times New Roman" w:ascii="Times New Roman" w:hAnsi="Times New Roman"/>
          <w:b w:val="false"/>
          <w:bCs w:val="false"/>
          <w:spacing w:val="2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Processo</w:t>
      </w:r>
      <w:r>
        <w:rPr>
          <w:rFonts w:cs="Times New Roman" w:ascii="Times New Roman" w:hAnsi="Times New Roman"/>
          <w:b w:val="false"/>
          <w:bCs w:val="false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Administrativo</w:t>
      </w:r>
      <w:r>
        <w:rPr>
          <w:rFonts w:cs="Times New Roman" w:ascii="Times New Roman" w:hAnsi="Times New Roman"/>
          <w:b w:val="false"/>
          <w:bCs w:val="false"/>
          <w:spacing w:val="2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nº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val="pt-BR"/>
        </w:rPr>
        <w:t>64449.000361/2025-36</w:t>
      </w:r>
      <w:r>
        <w:rPr>
          <w:rFonts w:cs="Times New Roman" w:ascii="Times New Roman" w:hAnsi="Times New Roman"/>
          <w:b w:val="false"/>
          <w:bCs w:val="false"/>
          <w:spacing w:val="-4"/>
          <w:sz w:val="24"/>
          <w:szCs w:val="24"/>
        </w:rPr>
        <w:t>, RESOLVE</w:t>
      </w:r>
      <w:r>
        <w:rPr>
          <w:rFonts w:cs="Times New Roman" w:ascii="Times New Roman" w:hAnsi="Times New Roman"/>
          <w:b w:val="false"/>
          <w:bCs w:val="false"/>
          <w:spacing w:val="-4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registrar os preços da(s) empresa(s) indicadas(s) e qualificada(s) nesta ATA, de acordo com a classificação por ela(s) alcançada(s) e na(s) quantidade(s)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>
      <w:pPr>
        <w:pStyle w:val="Normal"/>
        <w:rPr>
          <w:rFonts w:ascii="Times New Roman" w:hAnsi="Times New Roman" w:cs="Times New Roman"/>
          <w:lang w:eastAsia="en-US"/>
        </w:rPr>
      </w:pPr>
      <w:r>
        <w:rPr>
          <w:rFonts w:cs="Times New Roman" w:ascii="Times New Roman" w:hAnsi="Times New Roman"/>
          <w:lang w:eastAsia="en-US"/>
        </w:rPr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 OBJETO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hanging="0" w:left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A presente Ata tem por objeto o registro de preços para a eventual </w:t>
      </w:r>
      <w:r>
        <w:rPr>
          <w:rFonts w:cs="Times New Roman" w:ascii="Times New Roman" w:hAnsi="Times New Roman"/>
        </w:rPr>
        <w:t xml:space="preserve">aquisição de material para manutenção das piscinas </w:t>
      </w:r>
      <w:r>
        <w:rPr>
          <w:rFonts w:cs="Times New Roman" w:ascii="Times New Roman" w:hAnsi="Times New Roman"/>
          <w:color w:val="000000"/>
        </w:rPr>
        <w:t xml:space="preserve">do Depósito Central de Munição, </w:t>
      </w:r>
      <w:r>
        <w:rPr>
          <w:rFonts w:cs="Times New Roman" w:ascii="Times New Roman" w:hAnsi="Times New Roman"/>
        </w:rPr>
        <w:t xml:space="preserve">especificados nos itens do Termo de Referência, anexo I do edital de </w:t>
      </w:r>
      <w:r>
        <w:rPr>
          <w:rFonts w:cs="Times New Roman" w:ascii="Times New Roman" w:hAnsi="Times New Roman"/>
          <w:iCs/>
        </w:rPr>
        <w:t>Pregão nº 90005/2025,</w:t>
      </w:r>
      <w:r>
        <w:rPr>
          <w:rFonts w:cs="Times New Roman" w:ascii="Times New Roman" w:hAnsi="Times New Roman"/>
        </w:rPr>
        <w:t xml:space="preserve"> que é parte integrante desta Ata, assim como a proposta vencedora, independentemente de transcrição.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DOS PREÇOS, ESPECIFICAÇÕES E QUANTITATIVOS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color w:val="FF0000"/>
              </w:rPr>
            </w:pPr>
            <w:r>
              <w:rPr>
                <w:rFonts w:cs="Times New Roman" w:ascii="Times New Roman" w:hAnsi="Times New Roman"/>
              </w:rPr>
              <w:t xml:space="preserve">Fornecedor </w:t>
            </w:r>
            <w:r>
              <w:rPr>
                <w:rFonts w:cs="Times New Roman" w:ascii="Times New Roman" w:hAnsi="Times New Roman"/>
                <w:i/>
                <w:color w:val="FF000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360"/>
        <w:rPr>
          <w:rFonts w:ascii="Times New Roman" w:hAnsi="Times New Roman" w:cs="Times New Roman"/>
          <w:lang w:eastAsia="en-US"/>
        </w:rPr>
      </w:pPr>
      <w:r>
        <w:rPr>
          <w:rFonts w:cs="Times New Roman" w:ascii="Times New Roman" w:hAnsi="Times New Roman"/>
          <w:lang w:eastAsia="en-US"/>
        </w:rPr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cs="Times New Roman" w:ascii="Times New Roman" w:hAnsi="Times New Roman"/>
          <w:sz w:val="24"/>
          <w:szCs w:val="24"/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ÓRGÃO GERENCIADOR E  PARTICIPANTE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órgão gerenciador será o DEPÓSITO CENTRAL DE MUNIÇÃO</w:t>
      </w:r>
    </w:p>
    <w:p>
      <w:pPr>
        <w:pStyle w:val="Nvel2-Red"/>
        <w:numPr>
          <w:ilvl w:val="1"/>
          <w:numId w:val="1"/>
        </w:numPr>
        <w:ind w:hanging="0" w:left="0"/>
        <w:rPr>
          <w:rFonts w:ascii="Times New Roman" w:hAnsi="Times New Roman" w:cs="Times New Roman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</w:rPr>
        <w:t xml:space="preserve">Não há Órgão Participante. 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DA ADESÃO À ATA DE REGISTRO DE PREÇOS </w:t>
      </w:r>
    </w:p>
    <w:p>
      <w:pPr>
        <w:pStyle w:val="Nvel2-Red"/>
        <w:numPr>
          <w:ilvl w:val="1"/>
          <w:numId w:val="1"/>
        </w:numPr>
        <w:ind w:hanging="0" w:left="0"/>
        <w:rPr>
          <w:rFonts w:ascii="Times New Roman" w:hAnsi="Times New Roman" w:cs="Times New Roman"/>
          <w:i w:val="false"/>
          <w:i w:val="false"/>
          <w:iCs w:val="false"/>
          <w:color w:val="auto"/>
          <w:sz w:val="24"/>
          <w:szCs w:val="24"/>
          <w:lang w:eastAsia="en-US"/>
        </w:rPr>
      </w:pP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  <w:lang w:eastAsia="en-US"/>
        </w:rPr>
        <w:t xml:space="preserve"> </w:t>
      </w: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  <w:lang w:eastAsia="en-US"/>
        </w:rPr>
        <w:t>Não será admitida a adesão à ata de registro de preços decorrente desta licitação ou desta contratação direta, conforme justificativa apresentada nos estudos técnicos preliminares.</w:t>
      </w:r>
    </w:p>
    <w:p>
      <w:pPr>
        <w:pStyle w:val="SubTitNN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Vedação a acréscimo de quantitativos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validade da Ata de Registro de Preços será de 1 (um) ano, contado a partir do primeiro dia útil subsequente à data de divulgação no PNCP.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contratação com os fornecedores registrados na ata será formalizada pelo órgão ou pela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Serão registrados na ata os preços e os quantita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vos do adjudicatário, devendo ser observada a possibilidade de o licitante oferecer ou não proposta em quantitativo inferior ao máximo previsto no edital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 se obrigar nos limites dela;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registro a que se refere o item 5.4.2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 por obje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 habilitação dos licitantes que comporão o cadastro de reserva a que se refere 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cadastro_reserva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5.4.2.2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Quando o licitante vencedor não assinar a ata de registro de preços, no prazo e nas condições estabelecidos no edital; e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Quando houver o cancelamento do registro do licitante ou do registro de preços nas hipóteses previstas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Quando o convocado não assinar a ata de registro de preços no prazo e nas condições estabelecidos no edital ou no aviso de contratação,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nenhum dos licitantes que trata o item 5.4.2.1, aceitar a contratação nos termos do item anterior, a Administração, observados o valor es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mado e sua eventual atualização nos termos do edital, poderá: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ALTERAÇÃO OU ATUALIZAÇÃO DOS PREÇOS REGISTRADOS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 preços registrados poderão ser alterados ou atualizados em decorrência de eventual redução dos preços pra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rFonts w:cs="Times New Roman" w:ascii="Times New Roman" w:hAnsi="Times New Roman"/>
          <w:color w:val="0000EF"/>
          <w:sz w:val="24"/>
          <w:szCs w:val="24"/>
        </w:rPr>
        <w:t>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Em caso de criação, alteração ou ex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NEGOCIAÇÃO DE PREÇOS REGISTRADOS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o preço registrado tornar-se superior ao preço pra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cado no mercado por mo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 superveniente, 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Caso não aceite reduzir seu preço aos valores pra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 não obtiver êxito nas negociações, o órgão ou en</w:t>
      </w:r>
      <w:r>
        <w:rPr>
          <w:rFonts w:eastAsia="Calibri" w:cs="Times New Roman" w:ascii="Times New Roman" w:hAnsi="Times New Roman"/>
          <w:sz w:val="24"/>
          <w:szCs w:val="24"/>
        </w:rPr>
        <w:t>tid</w:t>
      </w:r>
      <w:r>
        <w:rPr>
          <w:rFonts w:cs="Times New Roman" w:ascii="Times New Roman" w:hAnsi="Times New Roman"/>
          <w:sz w:val="24"/>
          <w:szCs w:val="24"/>
        </w:rPr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redução do preço registrado, o gerenciador comunicará aos órgãos e às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dades que 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Não hipótese de não comprovação da existência de fato superveniente que inviabilize o preço registrado, o pedido será indeferido pelo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dade gerenciadora e o fornecedor deverá cumprir as obrigações estabelecidas na ata, sob pena de cancelamento do seu registro, nos termos do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cancelamento_do_fornecedor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9.1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cancelamento_da_ata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9.4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 hipótese de comprovação da majoração do preço de mercado que inviabilize o preço registrado, conforme previsto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hipotese_preco_mercado_maior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7.2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 xml:space="preserve"> e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prova_preco_mercado_maior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7.2.1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comunicará aos órgãos e às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dades que 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verem firmado contratos decorrentes da ata de registro de preços sobre a efe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previstas para os itens com preços registrados nas atas de registro de preços poderão ser remanejadas pelo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entre os órgãos ou as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cipantes e não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cipantes do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remanejamento somente poderá ser feito: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 para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 para órgão ou entidade não participante.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que tiver es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mado as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remanejamento de órgão ou entidade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Competirá ao órgão ou à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autorizar o remanejamento solicitado, com a redução do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ta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 inicialmente informado pelo órgão ou pela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cipante, desde que haja prévia anuência do órgão ou da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que sofrer redução dos quantitativos informados.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Caso o remanejamento seja feito entre órgãos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dos Estados, do Distrito Federal ou de Municípios dis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da compra centralizada, não havendo indicação pelo órgão ou pela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gerenciadora, dos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ta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vos dos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cipantes da compra centralizada, nos termos do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gerenciador_estimador_é_partic_em_remane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8.3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Não re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O cancelamento de registros nas hipóteses previstas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cancelamento_do_fornecedor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9.1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Por razão de interesse público;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DAS PENALIDADES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 descumprimento da Ata de Registro de Preços ensejará aplicação das penalidades estabelecidas </w:t>
      </w:r>
      <w:r>
        <w:rPr>
          <w:rFonts w:cs="Times New Roman" w:ascii="Times New Roman" w:hAnsi="Times New Roman"/>
          <w:iCs/>
          <w:sz w:val="24"/>
          <w:szCs w:val="24"/>
        </w:rPr>
        <w:t>no edital.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CONDIÇÕES GERAIS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ANEXO </w:t>
      </w:r>
      <w:r>
        <w:rPr>
          <w:rFonts w:cs="Times New Roman" w:ascii="Times New Roman" w:hAnsi="Times New Roman"/>
          <w:iCs/>
          <w:sz w:val="24"/>
          <w:szCs w:val="24"/>
        </w:rPr>
        <w:t>AO EDITAL.</w:t>
      </w:r>
    </w:p>
    <w:p>
      <w:pPr>
        <w:pStyle w:val="Nvel2-Red"/>
        <w:numPr>
          <w:ilvl w:val="1"/>
          <w:numId w:val="1"/>
        </w:numPr>
        <w:ind w:hanging="0" w:left="0"/>
        <w:rPr>
          <w:rFonts w:ascii="Times New Roman" w:hAnsi="Times New Roman" w:cs="Times New Roman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</w:rPr>
        <w:t>No caso de adjudicação por preço global de grupo de itens, só será admitida a contratação de parte de itens do grupo se houver prévia pesquisa de mercado e demonstração de sua vantagem para o órgão ou a entidade.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Times New Roman" w:hAnsi="Times New Roman" w:cs="Times New Roman"/>
          <w:i/>
          <w:i/>
          <w:iCs/>
          <w:color w:val="FF0000"/>
        </w:rPr>
      </w:pPr>
      <w:r>
        <w:rPr>
          <w:rFonts w:cs="Times New Roman" w:ascii="Times New Roman" w:hAnsi="Times New Roman"/>
        </w:rPr>
        <w:t>Para firmeza e validade do pactuado, a presente Ata foi lavrada em 2 (duas) vias de igual teor, que, depois de lida e achada em ordem, vai assinada pelas partes e encaminhada cópia aos demais órgãos participantes.</w:t>
      </w:r>
      <w:r>
        <w:rPr>
          <w:rFonts w:cs="Times New Roman" w:ascii="Times New Roman" w:hAnsi="Times New Roman"/>
          <w:i/>
          <w:iCs/>
        </w:rPr>
        <w:t xml:space="preserve"> 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Local e data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Assinaturas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 xml:space="preserve">Representante legal do órgão gerenciador e representante(s) legal(is) do(s) </w:t>
      </w:r>
      <w:r>
        <w:rPr>
          <w:rFonts w:cs="Times New Roman" w:ascii="Times New Roman" w:hAnsi="Times New Roman"/>
          <w:color w:val="000000"/>
        </w:rPr>
        <w:t>fornecedor(s) registrado(s)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Anexo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Cadastro Reserva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Fornecedor </w:t>
            </w:r>
            <w:r>
              <w:rPr>
                <w:rFonts w:cs="Times New Roman" w:ascii="Times New Roman" w:hAnsi="Times New Roman"/>
                <w:i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695"/>
        <w:gridCol w:w="11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Fornecedor </w:t>
            </w:r>
            <w:r>
              <w:rPr>
                <w:rFonts w:cs="Times New Roman" w:ascii="Times New Roman" w:hAnsi="Times New Roman"/>
                <w:i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sectPr>
      <w:footerReference w:type="even" r:id="rId4"/>
      <w:footerReference w:type="default" r:id="rId5"/>
      <w:footerReference w:type="first" r:id="rId6"/>
      <w:type w:val="nextPage"/>
      <w:pgSz w:orient="landscape" w:w="11906" w:h="16838"/>
      <w:pgMar w:left="1701" w:right="1134" w:gutter="0" w:header="0" w:top="709" w:footer="708" w:bottom="141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auto"/>
    <w:pitch w:val="variable"/>
  </w:font>
  <w:font w:name="Cambria">
    <w:charset w:val="00"/>
    <w:family w:val="auto"/>
    <w:pitch w:val="variable"/>
  </w:font>
  <w:font w:name="Segoe UI"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isLgl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</w:rPr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NSimSun" w:cs="Tahom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qFormat/>
    <w:pPr>
      <w:keepNext w:val="true"/>
      <w:keepLines/>
      <w:spacing w:before="480" w:after="0"/>
      <w:outlineLvl w:val="0"/>
    </w:pPr>
    <w:rPr>
      <w:rFonts w:ascii="Cambria" w:hAnsi="Cambria" w:eastAsia="Arial" w:cs="Arial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>
    <w:name w:val="Footnote Characters11111"/>
    <w:qFormat/>
    <w:rPr>
      <w:vertAlign w:val="superscript"/>
    </w:rPr>
  </w:style>
  <w:style w:type="character" w:styleId="FootnoteCharacters111111">
    <w:name w:val="Footnote Characters111111"/>
    <w:uiPriority w:val="99"/>
    <w:unhideWhenUsed/>
    <w:qFormat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qFormat/>
    <w:rPr>
      <w:vertAlign w:val="superscript"/>
    </w:rPr>
  </w:style>
  <w:style w:type="character" w:styleId="EndnoteCharacters11111">
    <w:name w:val="Endnote Characters11111"/>
    <w:qFormat/>
    <w:rPr>
      <w:vertAlign w:val="superscript"/>
    </w:rPr>
  </w:style>
  <w:style w:type="character" w:styleId="EndnoteCharacters111111">
    <w:name w:val="Endnote Characters111111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-nfase1Char" w:customStyle="1">
    <w:name w:val="Grade Colorida - Ênfase 1 Char"/>
    <w:qFormat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Pr>
      <w:sz w:val="24"/>
      <w:szCs w:val="24"/>
    </w:rPr>
  </w:style>
  <w:style w:type="character" w:styleId="InternetLink">
    <w:name w:val="Internet Link"/>
    <w:uiPriority w:val="99"/>
    <w:unhideWhenUsed/>
    <w:qFormat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qFormat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uiPriority w:val="29"/>
    <w:qFormat/>
    <w:rPr>
      <w:rFonts w:ascii="Ecofont_Spranq_eco_Sans" w:hAnsi="Ecofont_Spranq_eco_Sans" w:cs="Tahoma"/>
      <w:i/>
      <w:iCs/>
      <w:color w:themeColor="text1" w:val="000000"/>
      <w:sz w:val="24"/>
      <w:szCs w:val="24"/>
    </w:rPr>
  </w:style>
  <w:style w:type="character" w:styleId="Ttulo1Char" w:customStyle="1">
    <w:name w:val="Título 1 Char"/>
    <w:basedOn w:val="DefaultParagraphFont"/>
    <w:qFormat/>
    <w:rPr>
      <w:rFonts w:ascii="Cambria" w:hAnsi="Cambria" w:eastAsia="Arial" w:cs="Arial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ivel1Char" w:customStyle="1">
    <w:name w:val="Nivel1 Char"/>
    <w:basedOn w:val="Ttulo1Char"/>
    <w:qFormat/>
    <w:rPr>
      <w:rFonts w:ascii="Arial" w:hAnsi="Arial" w:eastAsia="Arial" w:cs="Arial" w:eastAsiaTheme="majorEastAsia"/>
      <w:b/>
      <w:bCs/>
      <w:color w:themeColor="accent1" w:themeShade="bf" w:val="365F91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semiHidden/>
    <w:qFormat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semiHidden/>
    <w:qFormat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qFormat/>
    <w:rPr>
      <w:rFonts w:ascii="Arial" w:hAnsi="Arial" w:eastAsia="Arial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qFormat/>
    <w:rPr>
      <w:rFonts w:ascii="Arial" w:hAnsi="Arial" w:cs="Arial"/>
    </w:rPr>
  </w:style>
  <w:style w:type="character" w:styleId="Nvel2-RedChar" w:customStyle="1">
    <w:name w:val="Nível 2 -Red Char"/>
    <w:basedOn w:val="Nivel2Char"/>
    <w:qFormat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qFormat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-RChar" w:customStyle="1">
    <w:name w:val="Nível 3-R Char"/>
    <w:basedOn w:val="DefaultParagraphFont"/>
    <w:qFormat/>
    <w:rPr>
      <w:rFonts w:ascii="Arial" w:hAnsi="Arial" w:eastAsia="Arial" w:cs="Arial" w:eastAsiaTheme="minorEastAsia"/>
      <w:i/>
      <w:iCs/>
      <w:color w:val="FF0000"/>
    </w:rPr>
  </w:style>
  <w:style w:type="character" w:styleId="Nvel3Char" w:customStyle="1">
    <w:name w:val="Nível 3 Char"/>
    <w:basedOn w:val="Nvel3-RChar"/>
    <w:qFormat/>
    <w:rPr>
      <w:rFonts w:ascii="Arial" w:hAnsi="Arial" w:eastAsia="Arial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qFormat/>
    <w:rPr>
      <w:rFonts w:ascii="Arial" w:hAnsi="Arial" w:eastAsia="Arial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qFormat/>
    <w:rPr>
      <w:rFonts w:ascii="Arial" w:hAnsi="Arial" w:cs="Arial"/>
      <w:b/>
      <w:bCs/>
      <w:i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99"/>
    <w:unhideWhenUsed/>
    <w:pPr>
      <w:spacing w:beforeAutospacing="1" w:afterAutospacing="1"/>
    </w:pPr>
    <w:rPr>
      <w:rFonts w:ascii="Times New Roman" w:hAnsi="Times New Roman" w:cs="Times New Roman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auto"/>
      <w:kern w:val="0"/>
      <w:sz w:val="20"/>
      <w:szCs w:val="20"/>
      <w:lang w:val="pt-BR" w:eastAsia="pt-BR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/>
    </w:pPr>
    <w:rPr>
      <w:i/>
    </w:rPr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Ttulo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0"/>
      <w:szCs w:val="20"/>
      <w:lang w:val="pt-BR" w:eastAsia="pt-BR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GradeColorida-nfase11" w:customStyle="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unhideWhenUsed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qFormat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true"/>
      <w:bidi w:val="0"/>
      <w:spacing w:before="120" w:after="0"/>
      <w:jc w:val="both"/>
    </w:pPr>
    <w:rPr>
      <w:rFonts w:ascii="Times New Roman" w:hAnsi="Times New Roman" w:eastAsia="Calibri" w:cs="Lucida Sans"/>
      <w:color w:val="000000"/>
      <w:kern w:val="0"/>
      <w:sz w:val="20"/>
      <w:szCs w:val="20"/>
      <w:lang w:val="pt-BR" w:eastAsia="en-US" w:bidi="ar-SA"/>
    </w:rPr>
  </w:style>
  <w:style w:type="paragraph" w:styleId="Quote">
    <w:name w:val="Quote"/>
    <w:basedOn w:val="Normal"/>
    <w:uiPriority w:val="29"/>
    <w:qFormat/>
    <w:pPr/>
    <w:rPr>
      <w:i/>
      <w:iCs/>
      <w:color w:themeColor="text1" w:val="000000"/>
    </w:rPr>
  </w:style>
  <w:style w:type="paragraph" w:styleId="Nivel1" w:customStyle="1">
    <w:name w:val="Nivel1"/>
    <w:basedOn w:val="Heading1"/>
    <w:qFormat/>
    <w:pPr>
      <w:widowControl w:val="false"/>
      <w:spacing w:lineRule="auto" w:line="276" w:before="480" w:after="120"/>
      <w:ind w:hanging="360" w:left="360"/>
      <w:jc w:val="both"/>
    </w:pPr>
    <w:rPr>
      <w:rFonts w:ascii="Arial" w:hAnsi="Arial" w:cs="Arial"/>
      <w:color w:themeColor="accent1" w:themeShade="bf" w:val="auto"/>
      <w:sz w:val="20"/>
      <w:szCs w:val="20"/>
    </w:rPr>
  </w:style>
  <w:style w:type="paragraph" w:styleId="Nivel01" w:customStyle="1">
    <w:name w:val="Nivel 01"/>
    <w:basedOn w:val="Heading1"/>
    <w:qFormat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hanging="0" w:left="0"/>
      <w:jc w:val="both"/>
    </w:pPr>
    <w:rPr>
      <w:rFonts w:ascii="Arial" w:hAnsi="Arial" w:cs="Arial"/>
      <w:color w:themeColor="accent1" w:themeShade="bf" w:val="auto"/>
      <w:sz w:val="20"/>
      <w:szCs w:val="20"/>
      <w:lang w:eastAsia="en-US"/>
    </w:rPr>
  </w:style>
  <w:style w:type="paragraph" w:styleId="CommentText">
    <w:name w:val="annotation text"/>
    <w:basedOn w:val="Normal"/>
    <w:unhideWhenUsed/>
    <w:pPr/>
    <w:rPr>
      <w:sz w:val="20"/>
      <w:szCs w:val="20"/>
    </w:rPr>
  </w:style>
  <w:style w:type="paragraph" w:styleId="annotationsubject">
    <w:name w:val="annotation subject"/>
    <w:basedOn w:val="CommentText"/>
    <w:semiHidden/>
    <w:unhideWhenUsed/>
    <w:qFormat/>
    <w:pPr/>
    <w:rPr>
      <w:b/>
      <w:bCs/>
    </w:rPr>
  </w:style>
  <w:style w:type="paragraph" w:styleId="BalloonText">
    <w:name w:val="Balloon Text"/>
    <w:basedOn w:val="Normal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NSimSu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qFormat/>
    <w:pPr>
      <w:numPr>
        <w:ilvl w:val="1"/>
        <w:numId w:val="1"/>
      </w:numPr>
      <w:spacing w:lineRule="auto" w:line="276" w:before="120" w:after="120"/>
      <w:ind w:hanging="0" w:left="0"/>
      <w:jc w:val="both"/>
    </w:pPr>
    <w:rPr>
      <w:rFonts w:ascii="Arial" w:hAnsi="Arial" w:cs="Arial"/>
      <w:sz w:val="20"/>
      <w:szCs w:val="20"/>
    </w:rPr>
  </w:style>
  <w:style w:type="paragraph" w:styleId="Nvel2-Red" w:customStyle="1">
    <w:name w:val="Nível 2 -Red"/>
    <w:basedOn w:val="Nivel2"/>
    <w:qFormat/>
    <w:pPr/>
    <w:rPr>
      <w:i/>
      <w:iCs/>
      <w:color w:val="FF0000"/>
    </w:rPr>
  </w:style>
  <w:style w:type="paragraph" w:styleId="ou" w:customStyle="1">
    <w:name w:val="ou"/>
    <w:basedOn w:val="ListParagraph"/>
    <w:qFormat/>
    <w:pPr>
      <w:spacing w:lineRule="auto" w:line="259" w:before="60" w:after="60"/>
      <w:ind w:left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-R" w:customStyle="1">
    <w:name w:val="Nível 3-R"/>
    <w:basedOn w:val="Normal"/>
    <w:qFormat/>
    <w:pPr>
      <w:numPr>
        <w:ilvl w:val="2"/>
        <w:numId w:val="1"/>
      </w:numPr>
      <w:spacing w:lineRule="auto" w:line="276" w:before="120" w:after="120"/>
      <w:ind w:hanging="0" w:left="284"/>
      <w:jc w:val="both"/>
    </w:pPr>
    <w:rPr>
      <w:rFonts w:ascii="Arial" w:hAnsi="Arial" w:eastAsia="Arial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-R"/>
    <w:qFormat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qFormat/>
    <w:pPr>
      <w:ind w:hanging="0" w:left="567"/>
    </w:pPr>
    <w:rPr/>
  </w:style>
  <w:style w:type="paragraph" w:styleId="SubTitNN" w:customStyle="1">
    <w:name w:val="SubTitNN"/>
    <w:basedOn w:val="Normal"/>
    <w:qFormat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Segoe UI" w:cs="Tahoma"/>
      <w:color w:val="000000"/>
      <w:kern w:val="0"/>
      <w:sz w:val="24"/>
      <w:szCs w:val="24"/>
      <w:lang w:val="en-US" w:eastAsia="en-US" w:bidi="en-US"/>
    </w:rPr>
  </w:style>
  <w:style w:type="numbering" w:styleId="Semlista" w:default="1">
    <w:name w:val="Sem lista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LibreOffice/24.8.0.3$Windows_X86_64 LibreOffice_project/0bdf1299c94fe897b119f97f3c613e9dca6be583</Application>
  <AppVersion>15.0000</AppVersion>
  <Pages>8</Pages>
  <Words>2954</Words>
  <Characters>16418</Characters>
  <CharactersWithSpaces>19152</CharactersWithSpaces>
  <Paragraphs>165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cp:lastPrinted>2025-01-15T08:21:55Z</cp:lastPrinted>
  <dcterms:modified xsi:type="dcterms:W3CDTF">2025-03-21T08:33:28Z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